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-126999</wp:posOffset>
            </wp:positionH>
            <wp:positionV relativeFrom="paragraph">
              <wp:posOffset>65405</wp:posOffset>
            </wp:positionV>
            <wp:extent cx="2849245" cy="565150"/>
            <wp:effectExtent b="0" l="0" r="0" t="0"/>
            <wp:wrapSquare wrapText="bothSides" distB="0" distT="0" distL="114300" distR="114300"/>
            <wp:docPr id="103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9245" cy="565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Ключевые особенности установления сервитута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Сервитут – это ограниченное право пользования чужим земельным участком или иным недвижимым имуществом, которое устанавливается в интересах одного или нескольких лиц либо в общественных интересах. Он может устанавливаться для различных целей, таких как проход или проезд через чужой участок, прокладка коммуникаций, обеспечение доступа к водным объектам и другим природным ресурсам. Эксперты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филиала ППК «Роскадастр» по Краснодарскому краю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Управления Росреестра по Краснодарскому краю рассмотрели основные особенности установления сервитута.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Обозначается два вида сервитута: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Частный сервитут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устанавливается в пользу конкретного лица или группы лиц для удовлетворения их потребностей. Например, установление прохода через соседний участок для доступа к своему дому.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Публичный сервитут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устанавливается в общественных интересах, например, для того, чтобы проложить дорогу общего пользования, линии электропередач, трубопроводы и другие инженерные сооружения.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«За 2024 год краевым Роскадастром в Единый государственный реестр недвижимости (ЕГРН) были внесены сведения об установлении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824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публичных сервитутов, что на 3% превышает показатели 2023 года»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- отмечает заместитель директора-главный технолог филиала ППК «Роскадастр» по Краснодарскому краю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Андрей Власенко.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Публичный сервитут утверждается решением органа исполнительной власти или местного самоуправления в интересах государства, муниципалитета и местного населения без изъятия земельных участков.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Публичный сервитут устанавливается с целью: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прохода или проезда через земельный участок, в том числе для обеспечения свободного доступа граждан к водному объекту общего пользования и его береговой полосе и т.п.;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размещения на земельном участке межевых знаков, геодезических пунктов государственной геодезической сети, в том числе пунктов специального назначения, нивелирных пунктов государственной нивелирной сети, гравиметрических пунктов государственной гравиметрической сети;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проведения дренажных и мелиоративных работ на земельном участке;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изъятия водных ресурсов из водных объектов и водопоя;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прогона сельскохозяйственных животных через земельный участок;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сенокошения, выпаса сельскохозяйственных животных в установленном порядке;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использования земельного участка в целях охоты, рыболовства и рыбоводства и др.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«Публичный сервитут отличается по своей правовой природе от сервитута. В первом случае определяются границы действия соответствующего сервитута, включая ограничения по использованию земельных участков, находящихся в таких границах. Во втором случае осуществляется государственная регистрация в реестре прав на недвижимость Единого государственного реестра недвижимости (ЕГРН) в рамках Федерального закона от 13.07.2015 №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218-ФЗ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Публичный сервитут считается установленным со дня внесения информации о нем в ЕГРН. Копия решения об установлении публичного сервитута направляется правообладателям в течение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 рабочих дней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 дня принятия данного решения»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– уточнил заместитель руководителя Управления Росреестра по Краснодарскому краю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Сергей Осипов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Сервитут может быть прекращен случае: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истечения срока его действия;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потери оснований для его существования (например, строительство дороги, делающей ненужным прежний путь через чужой участок);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соглашения сторон о прекращении сервитута;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решения суда о прекращении сервитута в связи с нарушением условий его использования.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Пресс-служба филиала ППК «Роскадастр» по Краснодарскому краю</w:t>
          </w:r>
        </w:sdtContent>
      </w:sdt>
    </w:p>
    <w:tbl>
      <w:tblPr>
        <w:tblStyle w:val="Table1"/>
        <w:tblW w:w="10295.0" w:type="dxa"/>
        <w:jc w:val="center"/>
        <w:tblLayout w:type="fixed"/>
        <w:tblLook w:val="0000"/>
      </w:tblPr>
      <w:tblGrid>
        <w:gridCol w:w="775"/>
        <w:gridCol w:w="4453"/>
        <w:gridCol w:w="956"/>
        <w:gridCol w:w="4111"/>
        <w:tblGridChange w:id="0">
          <w:tblGrid>
            <w:gridCol w:w="775"/>
            <w:gridCol w:w="4453"/>
            <w:gridCol w:w="956"/>
            <w:gridCol w:w="411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61315" cy="361315"/>
                  <wp:effectExtent b="0" l="0" r="0" t="0"/>
                  <wp:docPr descr="Описание: Описание: почта" id="1029" name="image1.png"/>
                  <a:graphic>
                    <a:graphicData uri="http://schemas.openxmlformats.org/drawingml/2006/picture">
                      <pic:pic>
                        <pic:nvPicPr>
                          <pic:cNvPr descr="Описание: Описание: почта"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613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press23@23.kadastr.ru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51790" cy="351155"/>
                  <wp:effectExtent b="0" l="0" r="0" t="0"/>
                  <wp:docPr id="102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90" cy="3511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https://vk.com/kadastr_krd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10796</wp:posOffset>
                  </wp:positionH>
                  <wp:positionV relativeFrom="paragraph">
                    <wp:posOffset>13970</wp:posOffset>
                  </wp:positionV>
                  <wp:extent cx="347980" cy="344805"/>
                  <wp:effectExtent b="0" l="0" r="0" t="0"/>
                  <wp:wrapNone/>
                  <wp:docPr id="103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448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https://kadastr.ru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61315" cy="361315"/>
                  <wp:effectExtent b="0" l="0" r="0" t="0"/>
                  <wp:docPr descr="Описание: Описание: телеграм" id="1030" name="image3.png"/>
                  <a:graphic>
                    <a:graphicData uri="http://schemas.openxmlformats.org/drawingml/2006/picture">
                      <pic:pic>
                        <pic:nvPicPr>
                          <pic:cNvPr descr="Описание: Описание: телеграм" id="0" name="image3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613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https://t.me/kadastr_kuban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5" w:type="default"/>
      <w:pgSz w:h="16838" w:w="11906" w:orient="portrait"/>
      <w:pgMar w:bottom="1134" w:top="1134" w:left="1134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ул.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д. 3, 350018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press23@23.kadastr.ru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Заголовок1">
    <w:name w:val="Заголовок 1"/>
    <w:basedOn w:val="Обычный"/>
    <w:next w:val="Заголовок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ГС_Основной_текстChar">
    <w:name w:val="ГС_Основной_текст Char"/>
    <w:next w:val="ГС_Основной_текстChar"/>
    <w:autoRedefine w:val="0"/>
    <w:hidden w:val="0"/>
    <w:qFormat w:val="0"/>
    <w:rPr>
      <w:rFonts w:ascii="Arial" w:cs="Arial" w:eastAsia="Times New Roman" w:hAnsi="Arial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ГС_Основной_текст">
    <w:name w:val="ГС_Основной_текст"/>
    <w:next w:val="ГС_Основной_текст"/>
    <w:autoRedefine w:val="0"/>
    <w:hidden w:val="0"/>
    <w:qFormat w:val="0"/>
    <w:pPr>
      <w:tabs>
        <w:tab w:val="left" w:leader="none" w:pos="851"/>
      </w:tabs>
      <w:suppressAutoHyphens w:val="1"/>
      <w:spacing w:after="60" w:before="60" w:line="360" w:lineRule="auto"/>
      <w:ind w:left="426"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rFonts w:ascii="Arial" w:cs="Arial" w:eastAsia="Times New Roman" w:hAnsi="Arial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Номерстраницы">
    <w:name w:val="Номер страницы"/>
    <w:next w:val="Номерстраниц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СтандартныйHTMLЗнак">
    <w:name w:val="Стандартный HTML Знак"/>
    <w:next w:val="СтандартныйHTMLЗнак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sc-jmpzur">
    <w:name w:val="sc-jmpzur"/>
    <w:basedOn w:val="Обычный"/>
    <w:next w:val="sc-jmpzur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sc-ejaja">
    <w:name w:val="sc-ejaja"/>
    <w:next w:val="sc-ejaj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msonormal_mr_css_attr">
    <w:name w:val="msonormal_mr_css_attr"/>
    <w:basedOn w:val="Обычный"/>
    <w:next w:val="msonormal_mr_css_attr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press23@23.kadastr.ru" TargetMode="External"/><Relationship Id="rId10" Type="http://schemas.openxmlformats.org/officeDocument/2006/relationships/image" Target="media/image1.png"/><Relationship Id="rId13" Type="http://schemas.openxmlformats.org/officeDocument/2006/relationships/image" Target="media/image4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onsultant.ru/document/cons_doc_LAW_182661/" TargetMode="External"/><Relationship Id="rId15" Type="http://schemas.openxmlformats.org/officeDocument/2006/relationships/footer" Target="footer1.xml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yperlink" Target="https://kadastr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FvEqO/Rye+oCaLk+yBf3vNW8eQ==">CgMxLjAaJQoBMBIgCh4IB0IaChFRdWF0dHJvY2VudG8gU2FucxIFQXJpYWw4AHIhMVFwcTd3dHg4MHN1U3VmSTc5dVdIRG5Vdk9od2RKTlRj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2025-01-16T13:56:00Z</dcterms:created>
  <dc:creator>Редькина Дарья Александровна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