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-126999</wp:posOffset>
            </wp:positionH>
            <wp:positionV relativeFrom="paragraph">
              <wp:posOffset>65405</wp:posOffset>
            </wp:positionV>
            <wp:extent cx="2848610" cy="564515"/>
            <wp:effectExtent b="0" l="0" r="0" t="0"/>
            <wp:wrapSquare wrapText="bothSides" distB="0" distT="0" distL="114935" distR="114935"/>
            <wp:docPr id="10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38" l="-7" r="-7" t="-37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564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Электронный архив недвижимости Краснодарского края: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b2c"/>
          <w:sz w:val="28"/>
          <w:szCs w:val="28"/>
          <w:u w:val="none"/>
          <w:shd w:fill="auto" w:val="clear"/>
          <w:vertAlign w:val="baseline"/>
          <w:rtl w:val="0"/>
        </w:rPr>
        <w:t xml:space="preserve">свыше 160 тыс. реестровых дел оцифровано в 2024 году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Оцифровка реестровых дел краевого Роскадастра представляет собой комплекс мероприятий, направленных на перевод бумажных документов в электронную форму для дальнейшего использования в автоматизированных системах управления данными. Этот процесс включает в себя ряд особенностей. Подробнее о нюансах проведения процедуры и результатах проделанной работы в данном направлении рассказывают эксперты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филиала ППК «Роскадастр» по Краснодарскому краю.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 2024 году краевым Роскадастром оцифровано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160,4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тыс. реестровых дел. Всего работниками филиала оцифровано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7,5 млн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соответствующих дел. Оцифровка распространяется на все документы, формирующие реестровое дело. Данный вид документа отражает историю объекта недвижимости от момента его создания до прекращения существования, а также информацию об изменении основных характеристик»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– отмечает заместитель директора филиала ППК «Роскадастр» по Краснодарскому краю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Сергей Пискашов.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Электронный образ документов заверяется усиленной квалифицированной электронной подписью уполномоченного лица и имеет такую же юридическую силу, что и на бумажном носителе.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Кроме того, преимуществами данной процедуры являются: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снижение рисков утраты данных: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оцифровка минимизирует риски потери важной информации;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надежность в хранении информации: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электронные документы менее подвержены физическим повреждениям и утратам, чем бумажные аналоги.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получения копий документов, хранящихся в филиале публично-правовой компании, необходимо подать соответствующий запрос любым удобным способом: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путем заполнения формы запроса на Госуслугах;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виде бумажного документа при личном обращении в любой офис МФЦ;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электронном виде, заполнив форму запроса на официальном сайте Росреестра или в личном кабинете правообладателя (для юридических лиц);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виде бумажного документа путем его отправки по почте по адресу: ул. Сормовская, 3, г. Краснодар, Краснодарский край, 350018 (для физических лиц).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Также подать заявление и получить необходимые документы в бумажном виде можно не выходя из дома, заказав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выездное обслуживание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Бесплатно воспользоваться услугой могут ветераны и инвалиды Великой Отечественной войны, дети-инвалиды, инвалиды с детства I группы, инвалиды I и II групп, но при условии, что они являются правообладателями данных объектов.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Полная информация о порядке осуществления выездного приема представлена на официальном сайте ППК «Роскадастр» в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разделе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«Сервисы и услуги».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Подробные сведения обо всех платных услугах можно узнать по телефону горячей линии Росреестра: 8 800 100-34-34.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Получить актуальную информацию об услугах возможно по e-mail филиала ППК «Роскадастр» по Краснодарскому краю: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uslugi-pay@23.kadastr.ru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или по телефону: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8 861 992-13-02 (доб. 2060): проведение кадастровых и землеустроительных работ;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8 861 992-13-02 (доб. 2061): предоставление выездных и консультационных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Пресс-служба филиала ППК «Роскадастр» по Краснодарскому краю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0295.0" w:type="dxa"/>
        <w:jc w:val="center"/>
        <w:tblLayout w:type="fixed"/>
        <w:tblLook w:val="0000"/>
      </w:tblPr>
      <w:tblGrid>
        <w:gridCol w:w="775"/>
        <w:gridCol w:w="4453"/>
        <w:gridCol w:w="956"/>
        <w:gridCol w:w="4111"/>
        <w:tblGridChange w:id="0">
          <w:tblGrid>
            <w:gridCol w:w="775"/>
            <w:gridCol w:w="4453"/>
            <w:gridCol w:w="956"/>
            <w:gridCol w:w="41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0680"/>
                  <wp:effectExtent b="0" l="0" r="0" t="0"/>
                  <wp:docPr id="103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06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press23@23.kadastr.ru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51790" cy="351155"/>
                  <wp:effectExtent b="0" l="0" r="0" t="0"/>
                  <wp:docPr id="103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3511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https://vk.com/kadastr_krd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935" distR="114935" hidden="0" layoutInCell="1" locked="0" relativeHeight="0" simplePos="0">
                  <wp:simplePos x="0" y="0"/>
                  <wp:positionH relativeFrom="column">
                    <wp:posOffset>10796</wp:posOffset>
                  </wp:positionH>
                  <wp:positionV relativeFrom="paragraph">
                    <wp:posOffset>13970</wp:posOffset>
                  </wp:positionV>
                  <wp:extent cx="347345" cy="344170"/>
                  <wp:effectExtent b="0" l="0" r="0" t="0"/>
                  <wp:wrapNone/>
                  <wp:docPr id="1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-45" l="-45" r="-45" t="-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344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https://kadastr.ru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id="103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https://t.me/kadastr_kuban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7" w:type="default"/>
      <w:footerReference r:id="rId18" w:type="first"/>
      <w:pgSz w:h="16838" w:w="11906" w:orient="portrait"/>
      <w:pgMar w:bottom="1134" w:top="1134" w:left="1134" w:right="567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ул.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д. 3, 350018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press23@23.kadastr.ru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Заголовок10">
    <w:name w:val="Заголовок 1"/>
    <w:basedOn w:val="Обычный"/>
    <w:next w:val="Основнойтекст"/>
    <w:autoRedefine w:val="0"/>
    <w:hidden w:val="0"/>
    <w:qFormat w:val="0"/>
    <w:pPr>
      <w:numPr>
        <w:ilvl w:val="0"/>
        <w:numId w:val="1"/>
      </w:num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48"/>
      <w:szCs w:val="48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ГС_Основной_текстChar">
    <w:name w:val="ГС_Основной_текст Char"/>
    <w:next w:val="ГС_Основной_текстChar"/>
    <w:autoRedefine w:val="0"/>
    <w:hidden w:val="0"/>
    <w:qFormat w:val="0"/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sc-ejaja">
    <w:name w:val="sc-ejaja"/>
    <w:next w:val="sc-ejaj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Номерстроки">
    <w:name w:val="Номер строки"/>
    <w:next w:val="Номерстрок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PT Astra Serif" w:cs="Noto Sans Devanagari" w:eastAsia="Tahoma" w:hAnsi="PT Astra Serif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PT Astra Serif" w:cs="Noto Sans Devanagari" w:eastAsia="Calibri" w:hAnsi="PT Astra Serif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PT Astra Serif" w:cs="Noto Sans Devanagari" w:eastAsia="Calibri" w:hAnsi="PT Astra Serif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PT Astra Serif" w:cs="Noto Sans Devanagari" w:eastAsia="Calibri" w:hAnsi="PT Astra Serif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ГС_Основной_текст">
    <w:name w:val="ГС_Основной_текст"/>
    <w:next w:val="ГС_Основной_текст"/>
    <w:autoRedefine w:val="0"/>
    <w:hidden w:val="0"/>
    <w:qFormat w:val="0"/>
    <w:pPr>
      <w:tabs>
        <w:tab w:val="left" w:leader="none" w:pos="851"/>
      </w:tabs>
      <w:suppressAutoHyphens w:val="0"/>
      <w:spacing w:after="60" w:before="60" w:line="360" w:lineRule="auto"/>
      <w:ind w:left="426"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Колонтитул">
    <w:name w:val="Колонтитул"/>
    <w:basedOn w:val="Обычный"/>
    <w:next w:val="Колонтитул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sc-jmpzur">
    <w:name w:val="sc-jmpzur"/>
    <w:basedOn w:val="Обычный"/>
    <w:next w:val="sc-jmpzur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msonormal_mr_css_attr">
    <w:name w:val="msonormal_mr_css_attr"/>
    <w:basedOn w:val="Обычный"/>
    <w:next w:val="msonormal_mr_css_attr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uslugi-pay@23.kadastr.ru" TargetMode="External"/><Relationship Id="rId10" Type="http://schemas.openxmlformats.org/officeDocument/2006/relationships/hyperlink" Target="https://kadastr.ru/services/" TargetMode="External"/><Relationship Id="rId13" Type="http://schemas.openxmlformats.org/officeDocument/2006/relationships/hyperlink" Target="mailto:press23@23.kadastr.ru" TargetMode="Externa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adastr.ru/services/vyezdnoe-obsluzhivanie/" TargetMode="External"/><Relationship Id="rId15" Type="http://schemas.openxmlformats.org/officeDocument/2006/relationships/image" Target="media/image1.png"/><Relationship Id="rId14" Type="http://schemas.openxmlformats.org/officeDocument/2006/relationships/image" Target="media/image3.png"/><Relationship Id="rId17" Type="http://schemas.openxmlformats.org/officeDocument/2006/relationships/footer" Target="footer2.xml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s://kadastr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OY51HL1vW8ggNzBg4w69juSMNw==">CgMxLjAaJQoBMBIgCh4IB0IaChFRdWF0dHJvY2VudG8gU2FucxIFQXJpYWw4AHIhMWhpU2lRVTdablFWWDhnc2haaDZHRWN2NURzS0VMbXRS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2025-01-14T05:32:00Z</dcterms:created>
  <dc:creator>Редькина Дарья Александровна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